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272"/>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C6840" w:rsidRPr="00E505D0" w:rsidTr="001C6840">
        <w:trPr>
          <w:cantSplit/>
          <w:trHeight w:val="1276"/>
        </w:trPr>
        <w:tc>
          <w:tcPr>
            <w:tcW w:w="2311" w:type="pct"/>
            <w:vAlign w:val="bottom"/>
          </w:tcPr>
          <w:p w:rsidR="001C6840" w:rsidRPr="002F28B9" w:rsidRDefault="001C6840" w:rsidP="001C684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C6840" w:rsidRPr="002F28B9" w:rsidRDefault="001C6840" w:rsidP="001C684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C6840" w:rsidRPr="002F28B9" w:rsidRDefault="001C6840" w:rsidP="001C6840">
            <w:pPr>
              <w:ind w:left="1490"/>
              <w:jc w:val="center"/>
              <w:rPr>
                <w:rFonts w:eastAsia="Arial Unicode MS"/>
                <w:sz w:val="20"/>
                <w:szCs w:val="20"/>
                <w:lang w:val="es-CL" w:eastAsia="en-US"/>
              </w:rPr>
            </w:pPr>
          </w:p>
        </w:tc>
        <w:tc>
          <w:tcPr>
            <w:tcW w:w="2607" w:type="pct"/>
            <w:vAlign w:val="bottom"/>
          </w:tcPr>
          <w:p w:rsidR="001C6840" w:rsidRPr="00E505D0" w:rsidRDefault="001C6840" w:rsidP="001C6840">
            <w:pPr>
              <w:ind w:left="75" w:right="-216"/>
              <w:jc w:val="right"/>
              <w:rPr>
                <w:rFonts w:eastAsia="Arial Unicode MS"/>
                <w:caps/>
                <w:sz w:val="28"/>
                <w:szCs w:val="28"/>
                <w:lang w:eastAsia="en-US"/>
              </w:rPr>
            </w:pPr>
            <w:r>
              <w:rPr>
                <w:noProof/>
                <w:lang w:val="es-CL" w:eastAsia="es-CL"/>
              </w:rPr>
              <w:drawing>
                <wp:anchor distT="0" distB="0" distL="114300" distR="114300" simplePos="0" relativeHeight="251661312" behindDoc="0" locked="0" layoutInCell="1" allowOverlap="1" wp14:anchorId="19A3C38D" wp14:editId="3A91CA6B">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C6840" w:rsidRDefault="001C6840" w:rsidP="00116582">
      <w:pPr>
        <w:rPr>
          <w:b/>
          <w:sz w:val="24"/>
        </w:rPr>
      </w:pPr>
    </w:p>
    <w:p w:rsidR="001C6840" w:rsidRDefault="001C6840"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Pr="00D271EA" w:rsidRDefault="00116582" w:rsidP="00116582">
      <w:pPr>
        <w:rPr>
          <w:b/>
          <w:sz w:val="24"/>
        </w:rPr>
      </w:pPr>
    </w:p>
    <w:tbl>
      <w:tblPr>
        <w:tblW w:w="10314" w:type="dxa"/>
        <w:tblLook w:val="04A0" w:firstRow="1" w:lastRow="0" w:firstColumn="1" w:lastColumn="0" w:noHBand="0" w:noVBand="1"/>
      </w:tblPr>
      <w:tblGrid>
        <w:gridCol w:w="5211"/>
        <w:gridCol w:w="5103"/>
      </w:tblGrid>
      <w:tr w:rsidR="00116582" w:rsidTr="001C6840">
        <w:tc>
          <w:tcPr>
            <w:tcW w:w="5211" w:type="dxa"/>
            <w:shd w:val="clear" w:color="auto" w:fill="auto"/>
          </w:tcPr>
          <w:p w:rsidR="00116582" w:rsidRDefault="00116582" w:rsidP="00472EF8"/>
        </w:tc>
        <w:tc>
          <w:tcPr>
            <w:tcW w:w="5103" w:type="dxa"/>
            <w:shd w:val="clear" w:color="auto" w:fill="auto"/>
          </w:tcPr>
          <w:p w:rsidR="00116582" w:rsidRDefault="00116582"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16582" w:rsidRPr="00141AEF" w:rsidRDefault="00116582" w:rsidP="001C6840">
            <w:pPr>
              <w:rPr>
                <w:rFonts w:ascii="Arial Narrow" w:hAnsi="Arial Narrow"/>
                <w:b/>
                <w:sz w:val="24"/>
              </w:rPr>
            </w:pPr>
            <w:r w:rsidRPr="00116582">
              <w:rPr>
                <w:rFonts w:ascii="Arial Narrow" w:hAnsi="Arial Narrow"/>
                <w:b/>
                <w:color w:val="000000"/>
                <w:sz w:val="40"/>
                <w:szCs w:val="40"/>
              </w:rPr>
              <w:t>MECANISMO DE ASIGNACIÓN DE OFICINAS DE APOYO A OPERACIÓN</w:t>
            </w:r>
            <w:r w:rsidRPr="00141AEF">
              <w:rPr>
                <w:rFonts w:ascii="Arial Narrow" w:hAnsi="Arial Narrow"/>
                <w:b/>
                <w:sz w:val="24"/>
              </w:rPr>
              <w:t xml:space="preserve"> </w:t>
            </w:r>
          </w:p>
        </w:tc>
      </w:tr>
      <w:tr w:rsidR="00116582" w:rsidTr="001C6840">
        <w:trPr>
          <w:trHeight w:val="119"/>
        </w:trPr>
        <w:tc>
          <w:tcPr>
            <w:tcW w:w="5211" w:type="dxa"/>
            <w:shd w:val="clear" w:color="auto" w:fill="auto"/>
          </w:tcPr>
          <w:p w:rsidR="00116582" w:rsidRDefault="00116582" w:rsidP="00472EF8"/>
        </w:tc>
        <w:tc>
          <w:tcPr>
            <w:tcW w:w="5103" w:type="dxa"/>
            <w:shd w:val="clear" w:color="auto" w:fill="auto"/>
          </w:tcPr>
          <w:p w:rsidR="00116582" w:rsidRDefault="00116582" w:rsidP="00472EF8">
            <w:pPr>
              <w:ind w:right="-170"/>
              <w:jc w:val="right"/>
            </w:pPr>
          </w:p>
        </w:tc>
      </w:tr>
    </w:tbl>
    <w:p w:rsidR="00116582" w:rsidRPr="008715EF" w:rsidRDefault="001C6840" w:rsidP="00116582">
      <w:r>
        <w:rPr>
          <w:noProof/>
          <w:lang w:val="es-CL" w:eastAsia="es-CL"/>
        </w:rPr>
        <w:drawing>
          <wp:anchor distT="0" distB="0" distL="114300" distR="114300" simplePos="0" relativeHeight="251659264" behindDoc="0" locked="0" layoutInCell="1" allowOverlap="1" wp14:anchorId="40CDDBE1" wp14:editId="3479205B">
            <wp:simplePos x="0" y="0"/>
            <wp:positionH relativeFrom="column">
              <wp:posOffset>2981325</wp:posOffset>
            </wp:positionH>
            <wp:positionV relativeFrom="paragraph">
              <wp:posOffset>133350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9"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116582" w:rsidRPr="004A4D7C" w:rsidRDefault="00116582" w:rsidP="00116582">
      <w:pPr>
        <w:rPr>
          <w:lang w:val="es-AR"/>
        </w:rPr>
      </w:pPr>
    </w:p>
    <w:p w:rsidR="00116582" w:rsidRPr="00CB679F" w:rsidRDefault="00116582" w:rsidP="00116582">
      <w:pPr>
        <w:rPr>
          <w:bCs/>
          <w:kern w:val="32"/>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B3787A" w:rsidRDefault="00B3787A" w:rsidP="00B3787A">
      <w:pPr>
        <w:rPr>
          <w:rFonts w:cs="Arial"/>
          <w:bCs/>
          <w:kern w:val="32"/>
          <w:sz w:val="22"/>
          <w:szCs w:val="22"/>
          <w:lang w:val="es-AR"/>
        </w:rPr>
      </w:pPr>
    </w:p>
    <w:p w:rsidR="00B3787A" w:rsidRPr="00B27B99" w:rsidRDefault="00B3787A" w:rsidP="00B3787A">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Registro de las revisiones</w:t>
            </w: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rPr>
                <w:rFonts w:cs="Arial"/>
                <w:sz w:val="20"/>
                <w:szCs w:val="20"/>
                <w:lang w:val="es-AR"/>
              </w:rPr>
            </w:pPr>
            <w:r w:rsidRPr="000958E8">
              <w:rPr>
                <w:rFonts w:cs="Arial"/>
                <w:sz w:val="20"/>
                <w:szCs w:val="20"/>
                <w:lang w:val="es-AR"/>
              </w:rPr>
              <w:t>Versión</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Fecha de rev.</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Páginas / Artículos revisados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0</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06 Julio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Documento original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A</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11 </w:t>
            </w:r>
            <w:proofErr w:type="gramStart"/>
            <w:r w:rsidRPr="000958E8">
              <w:rPr>
                <w:rFonts w:cs="Arial"/>
                <w:sz w:val="20"/>
                <w:szCs w:val="20"/>
                <w:lang w:val="es-AR"/>
              </w:rPr>
              <w:t>Dic.</w:t>
            </w:r>
            <w:proofErr w:type="gramEnd"/>
            <w:r w:rsidRPr="000958E8">
              <w:rPr>
                <w:rFonts w:cs="Arial"/>
                <w:sz w:val="20"/>
                <w:szCs w:val="20"/>
                <w:lang w:val="es-AR"/>
              </w:rPr>
              <w:t xml:space="preserve">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Revisión de SCNP por cambio de procedimiento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116582" w:rsidP="00116582">
            <w:pPr>
              <w:jc w:val="center"/>
              <w:rPr>
                <w:rFonts w:cs="Arial"/>
                <w:sz w:val="20"/>
                <w:szCs w:val="20"/>
                <w:lang w:val="es-AR"/>
              </w:rPr>
            </w:pPr>
            <w:r w:rsidRPr="000958E8">
              <w:rPr>
                <w:rFonts w:cs="Arial"/>
                <w:sz w:val="20"/>
                <w:szCs w:val="20"/>
                <w:lang w:val="es-AR"/>
              </w:rPr>
              <w:t>1</w:t>
            </w:r>
          </w:p>
        </w:tc>
        <w:tc>
          <w:tcPr>
            <w:tcW w:w="1736" w:type="dxa"/>
          </w:tcPr>
          <w:p w:rsidR="00B3787A" w:rsidRPr="000958E8" w:rsidRDefault="004A5300" w:rsidP="00CA5081">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116582" w:rsidRPr="000958E8">
              <w:rPr>
                <w:rFonts w:cs="Arial"/>
                <w:sz w:val="20"/>
                <w:szCs w:val="20"/>
                <w:lang w:val="es-AR"/>
              </w:rPr>
              <w:t>2016</w:t>
            </w:r>
          </w:p>
        </w:tc>
        <w:tc>
          <w:tcPr>
            <w:tcW w:w="5283" w:type="dxa"/>
          </w:tcPr>
          <w:p w:rsidR="00B3787A" w:rsidRPr="000958E8" w:rsidRDefault="00116582" w:rsidP="00CA5081">
            <w:pPr>
              <w:rPr>
                <w:rFonts w:cs="Arial"/>
                <w:sz w:val="20"/>
                <w:szCs w:val="20"/>
                <w:lang w:val="es-AR"/>
              </w:rPr>
            </w:pPr>
            <w:r w:rsidRPr="000958E8">
              <w:rPr>
                <w:rFonts w:cs="Arial"/>
                <w:sz w:val="20"/>
                <w:szCs w:val="20"/>
                <w:lang w:val="es-AR"/>
              </w:rPr>
              <w:t>Cambio de formato</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Términos y definiciones</w:t>
            </w: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rPr>
                <w:rFonts w:cs="Arial"/>
                <w:sz w:val="20"/>
                <w:szCs w:val="20"/>
                <w:lang w:val="es-AR"/>
              </w:rPr>
            </w:pPr>
            <w:r w:rsidRPr="000958E8">
              <w:rPr>
                <w:rFonts w:cs="Arial"/>
                <w:sz w:val="20"/>
                <w:szCs w:val="20"/>
                <w:lang w:val="es-AR"/>
              </w:rPr>
              <w:t>SC Nuevo Pudahuel</w:t>
            </w:r>
          </w:p>
        </w:tc>
        <w:tc>
          <w:tcPr>
            <w:tcW w:w="5566" w:type="dxa"/>
          </w:tcPr>
          <w:p w:rsidR="00B3787A" w:rsidRPr="000958E8" w:rsidRDefault="00B3787A" w:rsidP="00CA5081">
            <w:pPr>
              <w:rPr>
                <w:rFonts w:cs="Arial"/>
                <w:sz w:val="20"/>
                <w:szCs w:val="20"/>
                <w:lang w:val="es-AR"/>
              </w:rPr>
            </w:pPr>
            <w:r w:rsidRPr="000958E8">
              <w:rPr>
                <w:rFonts w:cs="Arial"/>
                <w:sz w:val="20"/>
                <w:szCs w:val="20"/>
                <w:lang w:val="es-AR"/>
              </w:rPr>
              <w:t>: Sociedad Concesionaria Nuevo Pudahuel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sz w:val="20"/>
                <w:szCs w:val="20"/>
                <w:lang w:val="es-AR"/>
              </w:rPr>
            </w:pPr>
            <w:r w:rsidRPr="000958E8">
              <w:rPr>
                <w:rFonts w:cs="Arial"/>
                <w:bCs/>
                <w:kern w:val="32"/>
                <w:sz w:val="20"/>
                <w:szCs w:val="20"/>
                <w:lang w:val="es-AR"/>
              </w:rPr>
              <w:t>BALI</w:t>
            </w:r>
          </w:p>
        </w:tc>
        <w:tc>
          <w:tcPr>
            <w:tcW w:w="5566" w:type="dxa"/>
          </w:tcPr>
          <w:p w:rsidR="00B3787A" w:rsidRPr="000958E8" w:rsidRDefault="00B3787A" w:rsidP="00CA5081">
            <w:pPr>
              <w:spacing w:before="60"/>
              <w:rPr>
                <w:rFonts w:cs="Arial"/>
                <w:spacing w:val="-3"/>
                <w:sz w:val="20"/>
                <w:szCs w:val="20"/>
                <w:lang w:val="es-AR"/>
              </w:rPr>
            </w:pPr>
            <w:r w:rsidRPr="000958E8">
              <w:rPr>
                <w:rFonts w:cs="Arial"/>
                <w:spacing w:val="-3"/>
                <w:sz w:val="20"/>
                <w:szCs w:val="20"/>
                <w:lang w:val="es-AR"/>
              </w:rPr>
              <w:t>: Bases de Licitación de la obra pública fiscal denominada “Aeropuerto Internacional Arturo Merino Benítez de Santiago”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bCs/>
                <w:kern w:val="32"/>
                <w:sz w:val="20"/>
                <w:szCs w:val="20"/>
                <w:lang w:val="es-AR"/>
              </w:rPr>
            </w:pPr>
            <w:proofErr w:type="spellStart"/>
            <w:r w:rsidRPr="000958E8">
              <w:rPr>
                <w:rFonts w:cs="Arial"/>
                <w:sz w:val="20"/>
                <w:szCs w:val="20"/>
              </w:rPr>
              <w:t>Oficinas</w:t>
            </w:r>
            <w:proofErr w:type="spellEnd"/>
            <w:r w:rsidRPr="000958E8">
              <w:rPr>
                <w:rFonts w:cs="Arial"/>
                <w:sz w:val="20"/>
                <w:szCs w:val="20"/>
              </w:rPr>
              <w:t xml:space="preserve"> de </w:t>
            </w:r>
            <w:proofErr w:type="spellStart"/>
            <w:r w:rsidRPr="000958E8">
              <w:rPr>
                <w:rFonts w:cs="Arial"/>
                <w:sz w:val="20"/>
                <w:szCs w:val="20"/>
              </w:rPr>
              <w:t>apoyo</w:t>
            </w:r>
            <w:proofErr w:type="spellEnd"/>
          </w:p>
        </w:tc>
        <w:tc>
          <w:tcPr>
            <w:tcW w:w="5566" w:type="dxa"/>
          </w:tcPr>
          <w:p w:rsidR="00B3787A" w:rsidRPr="000958E8" w:rsidRDefault="00B3787A" w:rsidP="00CA5081">
            <w:pPr>
              <w:spacing w:before="60"/>
              <w:rPr>
                <w:rFonts w:cs="Arial"/>
                <w:spacing w:val="-3"/>
                <w:sz w:val="20"/>
                <w:szCs w:val="20"/>
                <w:lang w:val="es-AR"/>
              </w:rPr>
            </w:pPr>
            <w:r w:rsidRPr="000958E8">
              <w:rPr>
                <w:rFonts w:cs="Arial"/>
                <w:sz w:val="20"/>
                <w:szCs w:val="20"/>
                <w:lang w:val="es-CL"/>
              </w:rPr>
              <w:t>: toda aquella superficie, medida en metros cuadrados, destinada a actividades relacionadas con la operación aérea, tales como centro de control terrestre, equipaje perdido, sobrecosto por maleta y oficinas administrativas, exceptuando las actividades comerciales de las líneas aéreas.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7981" w:type="dxa"/>
            <w:gridSpan w:val="2"/>
          </w:tcPr>
          <w:p w:rsidR="00B3787A" w:rsidRPr="000958E8" w:rsidRDefault="00B3787A" w:rsidP="00CA5081">
            <w:pPr>
              <w:rPr>
                <w:rFonts w:cs="Arial"/>
                <w:sz w:val="20"/>
                <w:szCs w:val="20"/>
                <w:lang w:val="es-AR"/>
              </w:rPr>
            </w:pPr>
          </w:p>
          <w:p w:rsidR="00B3787A" w:rsidRPr="000958E8" w:rsidRDefault="00B3787A" w:rsidP="00CA5081">
            <w:pPr>
              <w:rPr>
                <w:rFonts w:cs="Arial"/>
                <w:sz w:val="20"/>
                <w:szCs w:val="20"/>
                <w:lang w:val="es-AR"/>
              </w:rPr>
            </w:pPr>
            <w:r w:rsidRPr="000958E8">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B3787A" w:rsidRPr="000958E8" w:rsidRDefault="00B3787A" w:rsidP="00B3787A">
      <w:pPr>
        <w:rPr>
          <w:rFonts w:cs="Arial"/>
          <w:bCs/>
          <w:kern w:val="32"/>
          <w:sz w:val="20"/>
          <w:szCs w:val="20"/>
          <w:lang w:val="es-AR"/>
        </w:rPr>
      </w:pPr>
    </w:p>
    <w:p w:rsidR="00B3787A" w:rsidRPr="000958E8" w:rsidRDefault="00B3787A" w:rsidP="00B3787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Objetivo</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pStyle w:val="Textoindependiente"/>
              <w:spacing w:after="0"/>
              <w:rPr>
                <w:rFonts w:cs="Arial"/>
                <w:szCs w:val="20"/>
                <w:lang w:val="es-CL"/>
              </w:rPr>
            </w:pPr>
            <w:r w:rsidRPr="000958E8">
              <w:rPr>
                <w:rFonts w:cs="Arial"/>
                <w:szCs w:val="20"/>
                <w:lang w:val="es-CL"/>
              </w:rPr>
              <w:t xml:space="preserve">Establecer un mecanismo para la asignación de oficinas de Apoyo </w:t>
            </w:r>
            <w:r w:rsidRPr="000958E8">
              <w:rPr>
                <w:rFonts w:cs="Arial"/>
                <w:spacing w:val="-3"/>
                <w:szCs w:val="20"/>
                <w:lang w:val="es-CL" w:eastAsia="es-ES"/>
              </w:rPr>
              <w:t>a Operación</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Distribución</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Inspector Fiscal (Procedimiento incluido en el RSO)</w:t>
            </w:r>
          </w:p>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SC Nuevo Pudahuel: Empleados encargados de la actividad</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Consulta</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rPr>
                <w:rFonts w:cs="Arial"/>
                <w:sz w:val="20"/>
                <w:szCs w:val="20"/>
                <w:lang w:val="es-AR"/>
              </w:rPr>
            </w:pPr>
            <w:r w:rsidRPr="000958E8">
              <w:rPr>
                <w:rFonts w:cs="Arial"/>
                <w:sz w:val="20"/>
                <w:szCs w:val="20"/>
                <w:lang w:val="es-AR"/>
              </w:rPr>
              <w:t xml:space="preserve">Según el BALI 1.10.10 C15, este mecanismo debe ser sujeto previo a su implementación a la </w:t>
            </w:r>
            <w:r w:rsidRPr="000958E8">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B3787A" w:rsidRPr="00CB679F"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Pr="00CB679F" w:rsidRDefault="000958E8" w:rsidP="00B3787A">
      <w:pPr>
        <w:rPr>
          <w:rFonts w:cs="Arial"/>
          <w:sz w:val="22"/>
          <w:szCs w:val="22"/>
          <w:lang w:val="es-AR"/>
        </w:rPr>
      </w:pPr>
    </w:p>
    <w:p w:rsidR="00B3787A" w:rsidRPr="00B811B6" w:rsidRDefault="00B3787A" w:rsidP="00B3787A">
      <w:pPr>
        <w:rPr>
          <w:rFonts w:cs="Arial"/>
          <w:bCs/>
          <w:kern w:val="32"/>
          <w:sz w:val="22"/>
          <w:szCs w:val="22"/>
          <w:lang w:val="es-CL"/>
        </w:rPr>
      </w:pPr>
    </w:p>
    <w:p w:rsidR="00B3787A" w:rsidRPr="00CB679F" w:rsidRDefault="00B3787A" w:rsidP="00B3787A">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Elaborado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lang w:val="en-US"/>
              </w:rPr>
            </w:pPr>
          </w:p>
        </w:tc>
        <w:tc>
          <w:tcPr>
            <w:tcW w:w="1069" w:type="pct"/>
            <w:vAlign w:val="center"/>
          </w:tcPr>
          <w:p w:rsidR="00ED684E" w:rsidRPr="00211478" w:rsidRDefault="00ED684E" w:rsidP="00ED684E">
            <w:pPr>
              <w:jc w:val="center"/>
              <w:rPr>
                <w:rFonts w:cs="Arial"/>
                <w:sz w:val="20"/>
                <w:szCs w:val="20"/>
                <w:lang w:val="en-US"/>
              </w:rPr>
            </w:pPr>
          </w:p>
        </w:tc>
      </w:tr>
      <w:tr w:rsidR="00116582" w:rsidRPr="00211478" w:rsidTr="00ED684E">
        <w:trPr>
          <w:trHeight w:val="397"/>
        </w:trPr>
        <w:tc>
          <w:tcPr>
            <w:tcW w:w="893" w:type="pct"/>
            <w:shd w:val="clear" w:color="auto" w:fill="B8CCE4" w:themeFill="accent1" w:themeFillTint="66"/>
            <w:vAlign w:val="center"/>
          </w:tcPr>
          <w:p w:rsidR="00116582" w:rsidRPr="00211478" w:rsidRDefault="00116582" w:rsidP="00116582">
            <w:pPr>
              <w:rPr>
                <w:rFonts w:cs="Arial"/>
                <w:color w:val="000000" w:themeColor="text1"/>
                <w:sz w:val="20"/>
                <w:szCs w:val="20"/>
                <w:lang w:val="en-US"/>
              </w:rPr>
            </w:pPr>
            <w:r w:rsidRPr="00211478">
              <w:rPr>
                <w:rFonts w:cs="Arial"/>
                <w:color w:val="000000" w:themeColor="text1"/>
                <w:sz w:val="20"/>
                <w:szCs w:val="20"/>
                <w:lang w:val="en-US"/>
              </w:rPr>
              <w:t>Revisado por</w:t>
            </w:r>
          </w:p>
        </w:tc>
        <w:tc>
          <w:tcPr>
            <w:tcW w:w="1253" w:type="pct"/>
            <w:vAlign w:val="center"/>
          </w:tcPr>
          <w:p w:rsidR="00116582" w:rsidRPr="00211478" w:rsidRDefault="00116582" w:rsidP="00116582">
            <w:pPr>
              <w:ind w:left="93"/>
              <w:rPr>
                <w:rFonts w:cs="Arial"/>
                <w:sz w:val="20"/>
                <w:szCs w:val="20"/>
              </w:rPr>
            </w:pPr>
            <w:r w:rsidRPr="00211478">
              <w:rPr>
                <w:rFonts w:cs="Arial"/>
                <w:sz w:val="20"/>
                <w:szCs w:val="20"/>
              </w:rPr>
              <w:t>Antonio R. MENDES</w:t>
            </w:r>
          </w:p>
        </w:tc>
        <w:tc>
          <w:tcPr>
            <w:tcW w:w="1573" w:type="pct"/>
            <w:vAlign w:val="center"/>
          </w:tcPr>
          <w:p w:rsidR="00116582" w:rsidRPr="00211478" w:rsidRDefault="00116582" w:rsidP="00116582">
            <w:pPr>
              <w:rPr>
                <w:rFonts w:cs="Arial"/>
                <w:sz w:val="20"/>
                <w:szCs w:val="20"/>
              </w:rPr>
            </w:pPr>
            <w:r w:rsidRPr="00211478">
              <w:rPr>
                <w:rFonts w:cs="Arial"/>
                <w:color w:val="000000" w:themeColor="text1"/>
                <w:sz w:val="20"/>
                <w:szCs w:val="20"/>
                <w:lang w:val="es-AR"/>
              </w:rPr>
              <w:t>Gerente O&amp;M</w:t>
            </w:r>
          </w:p>
        </w:tc>
        <w:tc>
          <w:tcPr>
            <w:tcW w:w="212" w:type="pct"/>
            <w:vAlign w:val="center"/>
          </w:tcPr>
          <w:p w:rsidR="00116582" w:rsidRPr="00211478" w:rsidRDefault="00116582" w:rsidP="00116582">
            <w:pPr>
              <w:jc w:val="center"/>
              <w:rPr>
                <w:rFonts w:cs="Arial"/>
                <w:sz w:val="20"/>
                <w:szCs w:val="20"/>
              </w:rPr>
            </w:pPr>
          </w:p>
        </w:tc>
        <w:tc>
          <w:tcPr>
            <w:tcW w:w="1069" w:type="pct"/>
            <w:vAlign w:val="center"/>
          </w:tcPr>
          <w:p w:rsidR="00116582" w:rsidRPr="00211478" w:rsidRDefault="00116582" w:rsidP="00116582">
            <w:pPr>
              <w:rPr>
                <w:rFonts w:cs="Arial"/>
                <w:sz w:val="20"/>
                <w:szCs w:val="20"/>
              </w:rPr>
            </w:pPr>
          </w:p>
        </w:tc>
      </w:tr>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Aprobado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rPr>
            </w:pPr>
          </w:p>
        </w:tc>
        <w:tc>
          <w:tcPr>
            <w:tcW w:w="1069" w:type="pct"/>
            <w:vAlign w:val="center"/>
          </w:tcPr>
          <w:p w:rsidR="00ED684E" w:rsidRPr="00211478" w:rsidRDefault="00ED684E" w:rsidP="00ED684E">
            <w:pPr>
              <w:rPr>
                <w:rFonts w:cs="Arial"/>
                <w:sz w:val="20"/>
                <w:szCs w:val="20"/>
              </w:rPr>
            </w:pPr>
          </w:p>
        </w:tc>
      </w:tr>
    </w:tbl>
    <w:p w:rsidR="00B3787A" w:rsidRPr="00CB679F" w:rsidRDefault="00B3787A" w:rsidP="00B3787A">
      <w:pPr>
        <w:rPr>
          <w:rFonts w:cs="Arial"/>
          <w:sz w:val="22"/>
          <w:szCs w:val="22"/>
          <w:lang w:val="es-AR"/>
        </w:rPr>
      </w:pPr>
    </w:p>
    <w:p w:rsidR="000958E8" w:rsidRDefault="000958E8" w:rsidP="0050116C">
      <w:pPr>
        <w:pStyle w:val="FC-Titre1"/>
        <w:numPr>
          <w:ilvl w:val="0"/>
          <w:numId w:val="0"/>
        </w:numPr>
        <w:ind w:left="360" w:hanging="360"/>
        <w:contextualSpacing w:val="0"/>
        <w:rPr>
          <w:rFonts w:eastAsia="Calibri"/>
          <w:spacing w:val="2"/>
          <w:lang w:val="es-CL"/>
        </w:rPr>
      </w:pPr>
    </w:p>
    <w:p w:rsidR="0050116C" w:rsidRPr="00CB679F" w:rsidRDefault="0050116C" w:rsidP="0050116C">
      <w:pPr>
        <w:pStyle w:val="FC-Titre1"/>
        <w:numPr>
          <w:ilvl w:val="0"/>
          <w:numId w:val="0"/>
        </w:numPr>
        <w:ind w:left="360" w:hanging="360"/>
        <w:contextualSpacing w:val="0"/>
        <w:rPr>
          <w:rFonts w:cs="Arial"/>
          <w:b/>
          <w:lang w:val="es-ES"/>
        </w:rPr>
      </w:pPr>
      <w:r w:rsidRPr="0082558D">
        <w:rPr>
          <w:rFonts w:eastAsia="Calibri"/>
          <w:spacing w:val="2"/>
          <w:lang w:val="es-CL"/>
        </w:rPr>
        <w:lastRenderedPageBreak/>
        <w:t>A. G</w:t>
      </w:r>
      <w:r w:rsidRPr="0082558D">
        <w:rPr>
          <w:rFonts w:eastAsia="Calibri"/>
          <w:spacing w:val="-2"/>
          <w:lang w:val="es-CL"/>
        </w:rPr>
        <w:t>E</w:t>
      </w:r>
      <w:r w:rsidRPr="0082558D">
        <w:rPr>
          <w:rFonts w:eastAsia="Calibri"/>
          <w:spacing w:val="-1"/>
          <w:lang w:val="es-CL"/>
        </w:rPr>
        <w:t>N</w:t>
      </w:r>
      <w:r w:rsidRPr="0082558D">
        <w:rPr>
          <w:rFonts w:eastAsia="Calibri"/>
          <w:spacing w:val="-2"/>
          <w:lang w:val="es-CL"/>
        </w:rPr>
        <w:t>E</w:t>
      </w:r>
      <w:r w:rsidRPr="0082558D">
        <w:rPr>
          <w:rFonts w:eastAsia="Calibri"/>
          <w:lang w:val="es-CL"/>
        </w:rPr>
        <w:t>RAL</w:t>
      </w:r>
      <w:r w:rsidRPr="0082558D">
        <w:rPr>
          <w:rFonts w:eastAsia="Calibri"/>
          <w:spacing w:val="1"/>
          <w:lang w:val="es-CL"/>
        </w:rPr>
        <w:t>ID</w:t>
      </w:r>
      <w:r w:rsidRPr="0082558D">
        <w:rPr>
          <w:rFonts w:eastAsia="Calibri"/>
          <w:lang w:val="es-CL"/>
        </w:rPr>
        <w:t>A</w:t>
      </w:r>
      <w:r w:rsidRPr="0082558D">
        <w:rPr>
          <w:rFonts w:eastAsia="Calibri"/>
          <w:spacing w:val="1"/>
          <w:lang w:val="es-CL"/>
        </w:rPr>
        <w:t>D</w:t>
      </w:r>
      <w:r w:rsidRPr="0082558D">
        <w:rPr>
          <w:rFonts w:eastAsia="Calibri"/>
          <w:spacing w:val="-2"/>
          <w:lang w:val="es-CL"/>
        </w:rPr>
        <w:t>E</w:t>
      </w:r>
      <w:r w:rsidRPr="0082558D">
        <w:rPr>
          <w:rFonts w:eastAsia="Calibri"/>
          <w:lang w:val="es-CL"/>
        </w:rPr>
        <w:t>S</w:t>
      </w:r>
    </w:p>
    <w:p w:rsidR="0050116C" w:rsidRPr="00CB679F" w:rsidRDefault="0050116C" w:rsidP="0050116C">
      <w:pPr>
        <w:pBdr>
          <w:bottom w:val="single" w:sz="4" w:space="1" w:color="3F70AB"/>
        </w:pBdr>
        <w:rPr>
          <w:rFonts w:cs="Arial"/>
          <w:b/>
          <w:sz w:val="22"/>
          <w:szCs w:val="22"/>
          <w:lang w:val="es-ES"/>
        </w:rPr>
      </w:pPr>
    </w:p>
    <w:p w:rsidR="0050116C" w:rsidRPr="0082558D" w:rsidRDefault="0050116C" w:rsidP="0050116C">
      <w:pPr>
        <w:rPr>
          <w:rFonts w:cs="Arial"/>
          <w:sz w:val="22"/>
          <w:szCs w:val="22"/>
          <w:lang w:val="es-CL"/>
        </w:rPr>
      </w:pPr>
    </w:p>
    <w:p w:rsidR="0050116C" w:rsidRPr="0082558D" w:rsidRDefault="0050116C" w:rsidP="0050116C">
      <w:pPr>
        <w:rPr>
          <w:rFonts w:cs="Arial"/>
          <w:sz w:val="22"/>
          <w:szCs w:val="22"/>
          <w:lang w:val="es-CL"/>
        </w:rPr>
      </w:pPr>
    </w:p>
    <w:p w:rsidR="0050116C" w:rsidRPr="00B811B6" w:rsidRDefault="0050116C" w:rsidP="0050116C">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50116C" w:rsidRPr="00B811B6" w:rsidRDefault="0050116C" w:rsidP="0050116C">
      <w:pPr>
        <w:ind w:right="15"/>
        <w:rPr>
          <w:rFonts w:cs="Arial"/>
          <w:sz w:val="22"/>
          <w:szCs w:val="22"/>
          <w:lang w:val="es-CL"/>
        </w:rPr>
      </w:pPr>
    </w:p>
    <w:p w:rsidR="0050116C" w:rsidRPr="00CB679F" w:rsidRDefault="0050116C" w:rsidP="0050116C">
      <w:pPr>
        <w:rPr>
          <w:rFonts w:cs="Arial"/>
          <w:sz w:val="22"/>
          <w:szCs w:val="22"/>
          <w:lang w:val="es-AR"/>
        </w:rPr>
      </w:pPr>
      <w:r w:rsidRPr="00B811B6">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ind w:right="15"/>
        <w:rPr>
          <w:rFonts w:eastAsia="Tahoma" w:cs="Arial"/>
          <w:sz w:val="32"/>
          <w:szCs w:val="32"/>
        </w:rPr>
      </w:pPr>
      <w:r w:rsidRPr="00CB679F">
        <w:rPr>
          <w:rFonts w:eastAsia="Tahoma" w:cs="Arial"/>
          <w:bCs/>
          <w:spacing w:val="-6"/>
          <w:sz w:val="32"/>
          <w:szCs w:val="32"/>
        </w:rPr>
        <w:t>B. ORGANIZACIONES INVOLUCRADAS</w:t>
      </w:r>
    </w:p>
    <w:p w:rsidR="0050116C" w:rsidRPr="00CB679F" w:rsidRDefault="0050116C" w:rsidP="0050116C">
      <w:pPr>
        <w:pBdr>
          <w:bottom w:val="single" w:sz="4" w:space="1" w:color="3F70AB"/>
        </w:pBdr>
        <w:rPr>
          <w:rFonts w:cs="Arial"/>
          <w:sz w:val="22"/>
          <w:szCs w:val="22"/>
        </w:rPr>
      </w:pPr>
    </w:p>
    <w:p w:rsidR="0050116C" w:rsidRPr="00CB679F" w:rsidRDefault="0050116C" w:rsidP="0050116C">
      <w:pPr>
        <w:rPr>
          <w:rFonts w:cs="Arial"/>
          <w:sz w:val="22"/>
          <w:szCs w:val="22"/>
        </w:rPr>
      </w:pPr>
    </w:p>
    <w:p w:rsidR="0050116C" w:rsidRPr="00CB679F" w:rsidRDefault="0050116C" w:rsidP="0050116C">
      <w:pPr>
        <w:rPr>
          <w:rFonts w:cs="Arial"/>
          <w:sz w:val="22"/>
          <w:szCs w:val="22"/>
        </w:rPr>
      </w:pPr>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proofErr w:type="spellStart"/>
      <w:r w:rsidRPr="00CB679F">
        <w:rPr>
          <w:rFonts w:cs="Arial"/>
          <w:sz w:val="22"/>
          <w:szCs w:val="22"/>
        </w:rPr>
        <w:t>Líneas</w:t>
      </w:r>
      <w:proofErr w:type="spellEnd"/>
      <w:r w:rsidRPr="00CB679F">
        <w:rPr>
          <w:rFonts w:cs="Arial"/>
          <w:sz w:val="22"/>
          <w:szCs w:val="22"/>
        </w:rPr>
        <w:t xml:space="preserve"> </w:t>
      </w:r>
      <w:proofErr w:type="spellStart"/>
      <w:r w:rsidRPr="00CB679F">
        <w:rPr>
          <w:rFonts w:cs="Arial"/>
          <w:sz w:val="22"/>
          <w:szCs w:val="22"/>
        </w:rPr>
        <w:t>Aéreas</w:t>
      </w:r>
      <w:proofErr w:type="spellEnd"/>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r w:rsidRPr="00CB679F">
        <w:rPr>
          <w:rFonts w:cs="Arial"/>
          <w:spacing w:val="-3"/>
          <w:sz w:val="22"/>
          <w:szCs w:val="22"/>
          <w:lang w:eastAsia="es-ES"/>
        </w:rPr>
        <w:t>SC NUEVO PUDAHUEL</w:t>
      </w:r>
    </w:p>
    <w:p w:rsidR="0050116C" w:rsidRPr="00CB679F" w:rsidRDefault="0050116C" w:rsidP="0050116C">
      <w:pPr>
        <w:ind w:right="15"/>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15"/>
        <w:rPr>
          <w:rFonts w:eastAsia="Tahoma" w:cs="Arial"/>
          <w:sz w:val="32"/>
          <w:szCs w:val="32"/>
          <w:lang w:val="en-US"/>
        </w:rPr>
      </w:pPr>
      <w:r w:rsidRPr="00CB679F">
        <w:rPr>
          <w:rFonts w:eastAsia="Tahoma" w:cs="Arial"/>
          <w:bCs/>
          <w:spacing w:val="-6"/>
          <w:sz w:val="32"/>
          <w:szCs w:val="32"/>
          <w:lang w:val="en-US"/>
        </w:rPr>
        <w:t>C. PROCEDIMIENTO</w:t>
      </w:r>
    </w:p>
    <w:p w:rsidR="0050116C" w:rsidRPr="00CB679F" w:rsidRDefault="0050116C" w:rsidP="0050116C">
      <w:pPr>
        <w:pBdr>
          <w:bottom w:val="single" w:sz="4" w:space="1" w:color="3F70AB"/>
        </w:pBdr>
        <w:rPr>
          <w:rFonts w:cs="Arial"/>
          <w:sz w:val="22"/>
          <w:szCs w:val="22"/>
          <w:lang w:val="en-US"/>
        </w:rPr>
      </w:pPr>
    </w:p>
    <w:p w:rsidR="0050116C" w:rsidRPr="00CB679F" w:rsidRDefault="0050116C" w:rsidP="0050116C">
      <w:pPr>
        <w:rPr>
          <w:rFonts w:cs="Arial"/>
          <w:sz w:val="22"/>
          <w:szCs w:val="22"/>
          <w:lang w:val="en-US"/>
        </w:rPr>
      </w:pPr>
    </w:p>
    <w:p w:rsidR="0050116C" w:rsidRPr="00CB679F" w:rsidRDefault="0050116C" w:rsidP="0050116C">
      <w:pPr>
        <w:pStyle w:val="Textoindependiente"/>
        <w:spacing w:after="0"/>
        <w:rPr>
          <w:rFonts w:cs="Arial"/>
          <w:sz w:val="22"/>
          <w:szCs w:val="22"/>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SC NUEVO PUDAHUEL asigna y proporciona a líneas aéreas, </w:t>
      </w:r>
      <w:proofErr w:type="spellStart"/>
      <w:r w:rsidRPr="00B811B6">
        <w:rPr>
          <w:rFonts w:cs="Arial"/>
          <w:spacing w:val="-3"/>
          <w:sz w:val="22"/>
          <w:szCs w:val="22"/>
          <w:lang w:val="es-CL" w:eastAsia="es-ES"/>
        </w:rPr>
        <w:t>areas</w:t>
      </w:r>
      <w:proofErr w:type="spellEnd"/>
      <w:r w:rsidRPr="00B811B6">
        <w:rPr>
          <w:rFonts w:cs="Arial"/>
          <w:spacing w:val="-3"/>
          <w:sz w:val="22"/>
          <w:szCs w:val="22"/>
          <w:lang w:val="es-CL" w:eastAsia="es-ES"/>
        </w:rPr>
        <w:t xml:space="preserve"> de apoyo </w:t>
      </w:r>
      <w:r>
        <w:rPr>
          <w:rFonts w:cs="Arial"/>
          <w:spacing w:val="-3"/>
          <w:sz w:val="22"/>
          <w:szCs w:val="22"/>
          <w:lang w:val="es-CL" w:eastAsia="es-ES"/>
        </w:rPr>
        <w:t>p</w:t>
      </w:r>
      <w:r w:rsidRPr="00B811B6">
        <w:rPr>
          <w:rFonts w:cs="Arial"/>
          <w:spacing w:val="-3"/>
          <w:sz w:val="22"/>
          <w:szCs w:val="22"/>
          <w:lang w:val="es-CL" w:eastAsia="es-ES"/>
        </w:rPr>
        <w:t>a</w:t>
      </w:r>
      <w:r>
        <w:rPr>
          <w:rFonts w:cs="Arial"/>
          <w:spacing w:val="-3"/>
          <w:sz w:val="22"/>
          <w:szCs w:val="22"/>
          <w:lang w:val="es-CL" w:eastAsia="es-ES"/>
        </w:rPr>
        <w:t>ra</w:t>
      </w:r>
      <w:r w:rsidRPr="00B811B6">
        <w:rPr>
          <w:rFonts w:cs="Arial"/>
          <w:spacing w:val="-3"/>
          <w:sz w:val="22"/>
          <w:szCs w:val="22"/>
          <w:lang w:val="es-CL" w:eastAsia="es-ES"/>
        </w:rPr>
        <w:t xml:space="preserve"> su operación de acuerdo a la infraestructura preexistente.</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Toda solicitud de oficinas para Líneas Aéreas y de Apoyo a Operación deberá ser dirigida a la Gerencia Comercial de SC NUEVO PUDAHUEL, quien asignará un espacio para que éstas puedan desarrollar sus funciones administrativas.</w:t>
      </w:r>
    </w:p>
    <w:p w:rsidR="0050116C" w:rsidRPr="00B811B6" w:rsidRDefault="0050116C" w:rsidP="0050116C">
      <w:pPr>
        <w:ind w:left="7"/>
        <w:rPr>
          <w:rFonts w:cs="Arial"/>
          <w:spacing w:val="-3"/>
          <w:sz w:val="22"/>
          <w:szCs w:val="22"/>
          <w:lang w:val="es-CL" w:eastAsia="es-ES"/>
        </w:rPr>
      </w:pPr>
    </w:p>
    <w:p w:rsidR="004369BC"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El avance tecnológico no hace necesario que las oficinas de Apoyo a Operación estén en las cercanías de ésta. </w:t>
      </w:r>
    </w:p>
    <w:p w:rsidR="004369BC" w:rsidRDefault="004369BC" w:rsidP="004369BC">
      <w:pPr>
        <w:pStyle w:val="Prrafodelista"/>
        <w:rPr>
          <w:rFonts w:cs="Arial"/>
          <w:spacing w:val="-3"/>
          <w:sz w:val="22"/>
          <w:szCs w:val="22"/>
          <w:lang w:val="es-CL" w:eastAsia="es-ES"/>
        </w:rPr>
      </w:pPr>
    </w:p>
    <w:p w:rsidR="0050116C" w:rsidRPr="00B811B6"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Para tales efectos, la tarifa a cobrar no superará lo indicado en el punto </w:t>
      </w:r>
      <w:r w:rsidRPr="00B811B6">
        <w:rPr>
          <w:rFonts w:cs="Arial"/>
          <w:sz w:val="22"/>
          <w:szCs w:val="22"/>
          <w:lang w:val="es-CL"/>
        </w:rPr>
        <w:t>1.10.9.3.1.f de las Bases de Licitación Aeropuerto AMB</w:t>
      </w:r>
      <w:r w:rsidRPr="00B811B6">
        <w:rPr>
          <w:rFonts w:cs="Arial"/>
          <w:spacing w:val="-3"/>
          <w:sz w:val="22"/>
          <w:szCs w:val="22"/>
          <w:lang w:val="es-CL" w:eastAsia="es-ES"/>
        </w:rPr>
        <w:t xml:space="preserve">. Se excluyen del cálculo los Salones VIP, las Oficinas de </w:t>
      </w:r>
      <w:proofErr w:type="spellStart"/>
      <w:r w:rsidRPr="00B811B6">
        <w:rPr>
          <w:rFonts w:cs="Arial"/>
          <w:spacing w:val="-3"/>
          <w:sz w:val="22"/>
          <w:szCs w:val="22"/>
          <w:lang w:val="es-CL" w:eastAsia="es-ES"/>
        </w:rPr>
        <w:t>Ticketing</w:t>
      </w:r>
      <w:proofErr w:type="spellEnd"/>
      <w:r w:rsidRPr="00B811B6">
        <w:rPr>
          <w:rFonts w:cs="Arial"/>
          <w:spacing w:val="-3"/>
          <w:sz w:val="22"/>
          <w:szCs w:val="22"/>
          <w:lang w:val="es-CL" w:eastAsia="es-ES"/>
        </w:rPr>
        <w:t xml:space="preserve"> y otros inmuebles que no sean utilizados como oficinas.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No se aplicará el criterio general de Apoyo de Counters, indicado precedentemente, si la Línea Aérea contrata los servicios de una empresa de </w:t>
      </w:r>
      <w:proofErr w:type="spellStart"/>
      <w:r w:rsidRPr="00B811B6">
        <w:rPr>
          <w:rFonts w:cs="Arial"/>
          <w:spacing w:val="-3"/>
          <w:sz w:val="22"/>
          <w:szCs w:val="22"/>
          <w:lang w:val="es-CL" w:eastAsia="es-ES"/>
        </w:rPr>
        <w:t>Ground</w:t>
      </w:r>
      <w:proofErr w:type="spellEnd"/>
      <w:r w:rsidRPr="00B811B6">
        <w:rPr>
          <w:rFonts w:cs="Arial"/>
          <w:spacing w:val="-3"/>
          <w:sz w:val="22"/>
          <w:szCs w:val="22"/>
          <w:lang w:val="es-CL" w:eastAsia="es-ES"/>
        </w:rPr>
        <w:t xml:space="preserve"> </w:t>
      </w:r>
      <w:proofErr w:type="spellStart"/>
      <w:r w:rsidRPr="00B811B6">
        <w:rPr>
          <w:rFonts w:cs="Arial"/>
          <w:spacing w:val="-3"/>
          <w:sz w:val="22"/>
          <w:szCs w:val="22"/>
          <w:lang w:val="es-CL" w:eastAsia="es-ES"/>
        </w:rPr>
        <w:t>Handling</w:t>
      </w:r>
      <w:proofErr w:type="spellEnd"/>
      <w:r w:rsidRPr="00B811B6">
        <w:rPr>
          <w:rFonts w:cs="Arial"/>
          <w:spacing w:val="-3"/>
          <w:sz w:val="22"/>
          <w:szCs w:val="22"/>
          <w:lang w:val="es-CL" w:eastAsia="es-ES"/>
        </w:rPr>
        <w:t xml:space="preserve"> u otra distinta para el chequeo de pasajeros y/o equipaje en los counters.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pacing w:val="-3"/>
          <w:sz w:val="22"/>
          <w:szCs w:val="22"/>
          <w:lang w:val="es-CL" w:eastAsia="es-ES"/>
        </w:rPr>
        <w:t>Al arrendatario del concesionario no se le permite subarrendar las oficinas que le han sido entregadas por medio de un contrato.</w:t>
      </w:r>
    </w:p>
    <w:p w:rsidR="0050116C" w:rsidRPr="00B811B6" w:rsidRDefault="0050116C" w:rsidP="0050116C">
      <w:pPr>
        <w:ind w:left="567"/>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z w:val="22"/>
          <w:szCs w:val="22"/>
          <w:lang w:val="es-CL"/>
        </w:rPr>
        <w:t>Sólo en caso que no hubiese interesados en utilizar las áreas disponibles para oficinas de apoyo, el Concesionario podrá disponer provisoriamente, previa autorización del Inspector Fiscal, de las superficies destinadas originalmente a dicho servicio a efecto de destinarlas a otras actividades. No obstante, en caso de requerirse nuevamente estas áreas, el Inspector Fiscal notificará mediante anotación en el Libro de Obra el requerimiento de dichas áreas al Concesionario quien, en un plazo de no más de 45 (cuarenta y cinco) días contados desde la fecha de dicha notificación, deberá dejar disponible el área en cuestión, sin derecho a compensación o indemnización alguna (BALI, punto 1.10.9.3.1.f).</w:t>
      </w:r>
    </w:p>
    <w:p w:rsidR="0050116C" w:rsidRPr="00B811B6" w:rsidRDefault="0050116C" w:rsidP="0050116C">
      <w:pPr>
        <w:pStyle w:val="Prrafodelista"/>
        <w:rPr>
          <w:rFonts w:cs="Arial"/>
          <w:spacing w:val="-3"/>
          <w:sz w:val="22"/>
          <w:szCs w:val="22"/>
          <w:lang w:val="es-CL" w:eastAsia="es-ES"/>
        </w:rPr>
      </w:pPr>
    </w:p>
    <w:p w:rsidR="0050116C" w:rsidRPr="00B811B6" w:rsidRDefault="0050116C" w:rsidP="0050116C">
      <w:pPr>
        <w:rPr>
          <w:rFonts w:cs="Arial"/>
          <w:spacing w:val="-3"/>
          <w:sz w:val="22"/>
          <w:szCs w:val="22"/>
          <w:lang w:val="es-CL" w:eastAsia="es-ES"/>
        </w:rPr>
      </w:pPr>
    </w:p>
    <w:p w:rsidR="00935D82" w:rsidRPr="0050116C" w:rsidRDefault="00935D82" w:rsidP="0050116C">
      <w:pPr>
        <w:rPr>
          <w:lang w:val="es-CL"/>
        </w:rPr>
      </w:pPr>
      <w:bookmarkStart w:id="0" w:name="_GoBack"/>
      <w:bookmarkEnd w:id="0"/>
    </w:p>
    <w:sectPr w:rsidR="00935D82" w:rsidRPr="0050116C" w:rsidSect="00116582">
      <w:headerReference w:type="default" r:id="rId10"/>
      <w:footerReference w:type="defaul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0E" w:rsidRDefault="002E370E" w:rsidP="003622AF">
      <w:r>
        <w:separator/>
      </w:r>
    </w:p>
  </w:endnote>
  <w:endnote w:type="continuationSeparator" w:id="0">
    <w:p w:rsidR="002E370E" w:rsidRDefault="002E370E"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924C6B" w:rsidP="009B0CB1">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SCEL-OPS-GEN-PO-002</w:t>
          </w:r>
        </w:p>
      </w:tc>
      <w:tc>
        <w:tcPr>
          <w:tcW w:w="2835" w:type="dxa"/>
        </w:tcPr>
        <w:p w:rsidR="00731F32" w:rsidRPr="009A2908" w:rsidRDefault="00731F32" w:rsidP="00116582">
          <w:pPr>
            <w:pStyle w:val="Encabezado"/>
            <w:jc w:val="center"/>
            <w:rPr>
              <w:rFonts w:ascii="Arial Narrow" w:hAnsi="Arial Narrow"/>
              <w:color w:val="244061" w:themeColor="accent1" w:themeShade="80"/>
              <w:sz w:val="16"/>
              <w:szCs w:val="16"/>
              <w:lang w:val="en-US"/>
            </w:rPr>
          </w:pPr>
        </w:p>
      </w:tc>
      <w:tc>
        <w:tcPr>
          <w:tcW w:w="3617" w:type="dxa"/>
        </w:tcPr>
        <w:p w:rsidR="00731F32" w:rsidRDefault="00731F32"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684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ED684E">
            <w:fldChar w:fldCharType="begin"/>
          </w:r>
          <w:r w:rsidR="00ED684E">
            <w:instrText>NUMPAGES  \* Arabic  \* MERGEFORMAT</w:instrText>
          </w:r>
          <w:r w:rsidR="00ED684E">
            <w:fldChar w:fldCharType="separate"/>
          </w:r>
          <w:r w:rsidR="00ED684E" w:rsidRPr="00ED684E">
            <w:rPr>
              <w:rFonts w:ascii="Arial Narrow" w:hAnsi="Arial Narrow"/>
              <w:noProof/>
              <w:color w:val="244061" w:themeColor="accent1" w:themeShade="80"/>
              <w:sz w:val="16"/>
              <w:szCs w:val="16"/>
            </w:rPr>
            <w:t>4</w:t>
          </w:r>
          <w:r w:rsidR="00ED684E">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0E" w:rsidRDefault="002E370E" w:rsidP="003622AF">
      <w:r>
        <w:separator/>
      </w:r>
    </w:p>
  </w:footnote>
  <w:footnote w:type="continuationSeparator" w:id="0">
    <w:p w:rsidR="002E370E" w:rsidRDefault="002E370E"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ED684E" w:rsidRPr="00C445E1" w:rsidTr="001C6840">
      <w:trPr>
        <w:jc w:val="center"/>
      </w:trPr>
      <w:tc>
        <w:tcPr>
          <w:tcW w:w="2093" w:type="dxa"/>
          <w:vMerge w:val="restart"/>
          <w:shd w:val="clear" w:color="auto" w:fill="auto"/>
          <w:vAlign w:val="center"/>
        </w:tcPr>
        <w:p w:rsidR="00ED684E" w:rsidRPr="00B46984" w:rsidRDefault="00ED684E" w:rsidP="00116582">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ED684E" w:rsidRDefault="00ED684E" w:rsidP="00116582">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ED684E" w:rsidRPr="00C445E1" w:rsidRDefault="00ED684E" w:rsidP="00116582">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0" w:type="dxa"/>
          <w:tcBorders>
            <w:bottom w:val="single" w:sz="4" w:space="0" w:color="244061" w:themeColor="accent1" w:themeShade="80"/>
          </w:tcBorders>
          <w:vAlign w:val="center"/>
        </w:tcPr>
        <w:p w:rsidR="00ED684E" w:rsidRPr="00386270" w:rsidRDefault="00ED684E" w:rsidP="00116582">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ED684E" w:rsidRPr="00731F32" w:rsidRDefault="00ED684E" w:rsidP="00116582">
          <w:pPr>
            <w:pStyle w:val="Encabezado"/>
            <w:rPr>
              <w:rFonts w:ascii="Arial Narrow" w:hAnsi="Arial Narrow"/>
              <w:b/>
            </w:rPr>
          </w:pPr>
          <w:r>
            <w:rPr>
              <w:noProof/>
              <w:lang w:val="es-CL" w:eastAsia="es-CL"/>
            </w:rPr>
            <w:drawing>
              <wp:inline distT="0" distB="0" distL="0" distR="0" wp14:anchorId="4C6C8065" wp14:editId="79867B7A">
                <wp:extent cx="1033145" cy="326390"/>
                <wp:effectExtent l="0" t="0" r="0" b="0"/>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26390"/>
                        </a:xfrm>
                        <a:prstGeom prst="rect">
                          <a:avLst/>
                        </a:prstGeom>
                        <a:noFill/>
                        <a:ln>
                          <a:noFill/>
                        </a:ln>
                      </pic:spPr>
                    </pic:pic>
                  </a:graphicData>
                </a:graphic>
              </wp:inline>
            </w:drawing>
          </w:r>
        </w:p>
      </w:tc>
    </w:tr>
    <w:tr w:rsidR="00ED684E" w:rsidRPr="00037CED" w:rsidTr="008E424D">
      <w:trPr>
        <w:jc w:val="center"/>
      </w:trPr>
      <w:tc>
        <w:tcPr>
          <w:tcW w:w="2093" w:type="dxa"/>
          <w:vMerge/>
          <w:shd w:val="clear" w:color="auto" w:fill="auto"/>
        </w:tcPr>
        <w:p w:rsidR="00ED684E" w:rsidRPr="00C445E1" w:rsidRDefault="00ED684E" w:rsidP="00116582">
          <w:pPr>
            <w:pStyle w:val="Encabezado"/>
            <w:rPr>
              <w:rFonts w:ascii="Arial Narrow" w:hAnsi="Arial Narrow"/>
            </w:rPr>
          </w:pPr>
        </w:p>
      </w:tc>
      <w:tc>
        <w:tcPr>
          <w:tcW w:w="6520" w:type="dxa"/>
          <w:tcBorders>
            <w:top w:val="single" w:sz="4" w:space="0" w:color="244061" w:themeColor="accent1" w:themeShade="80"/>
          </w:tcBorders>
          <w:vAlign w:val="center"/>
        </w:tcPr>
        <w:p w:rsidR="00ED684E" w:rsidRPr="000958E8" w:rsidRDefault="00ED684E" w:rsidP="00116582">
          <w:pPr>
            <w:pStyle w:val="Encabezado"/>
            <w:ind w:left="25"/>
            <w:jc w:val="center"/>
            <w:rPr>
              <w:rFonts w:ascii="Arial Narrow" w:hAnsi="Arial Narrow"/>
              <w:sz w:val="20"/>
              <w:szCs w:val="20"/>
              <w:lang w:val="es-AR"/>
            </w:rPr>
          </w:pPr>
          <w:r w:rsidRPr="000958E8">
            <w:rPr>
              <w:rFonts w:ascii="Arial Narrow" w:hAnsi="Arial Narrow"/>
              <w:color w:val="244061" w:themeColor="accent1" w:themeShade="80"/>
              <w:sz w:val="20"/>
              <w:szCs w:val="20"/>
              <w:lang w:val="es-AR"/>
            </w:rPr>
            <w:t>MECANISMO DE ASIGNACI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 DE OFICINAS DE APOYO A OPERACI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w:t>
          </w:r>
        </w:p>
      </w:tc>
      <w:tc>
        <w:tcPr>
          <w:tcW w:w="1843" w:type="dxa"/>
          <w:vMerge/>
        </w:tcPr>
        <w:p w:rsidR="00ED684E" w:rsidRPr="00D16567" w:rsidRDefault="00ED684E" w:rsidP="0011658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0A21FD"/>
    <w:multiLevelType w:val="hybridMultilevel"/>
    <w:tmpl w:val="28E65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8386D41"/>
    <w:multiLevelType w:val="hybridMultilevel"/>
    <w:tmpl w:val="6C04787C"/>
    <w:lvl w:ilvl="0" w:tplc="0C0A0001">
      <w:start w:val="1"/>
      <w:numFmt w:val="bullet"/>
      <w:lvlText w:val=""/>
      <w:lvlJc w:val="left"/>
      <w:pPr>
        <w:ind w:left="1144" w:hanging="435"/>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6719D"/>
    <w:multiLevelType w:val="hybridMultilevel"/>
    <w:tmpl w:val="AEB6F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725CE4"/>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2B0E40"/>
    <w:multiLevelType w:val="hybridMultilevel"/>
    <w:tmpl w:val="9B48A2B8"/>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6885AC0"/>
    <w:multiLevelType w:val="hybridMultilevel"/>
    <w:tmpl w:val="9B8011AC"/>
    <w:lvl w:ilvl="0" w:tplc="3D009FF2">
      <w:start w:val="1"/>
      <w:numFmt w:val="upp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15:restartNumberingAfterBreak="0">
    <w:nsid w:val="2A315D07"/>
    <w:multiLevelType w:val="hybridMultilevel"/>
    <w:tmpl w:val="4C6AFE8C"/>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A65A4"/>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7A401D"/>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D356F3"/>
    <w:multiLevelType w:val="hybridMultilevel"/>
    <w:tmpl w:val="AE4291A2"/>
    <w:lvl w:ilvl="0" w:tplc="14C8903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60DC"/>
    <w:multiLevelType w:val="hybridMultilevel"/>
    <w:tmpl w:val="6A746756"/>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3737C"/>
    <w:multiLevelType w:val="hybridMultilevel"/>
    <w:tmpl w:val="56684B4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4F7F"/>
    <w:multiLevelType w:val="hybridMultilevel"/>
    <w:tmpl w:val="3112FD20"/>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37B42"/>
    <w:multiLevelType w:val="hybridMultilevel"/>
    <w:tmpl w:val="D7D47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5D6005"/>
    <w:multiLevelType w:val="hybridMultilevel"/>
    <w:tmpl w:val="09E86C20"/>
    <w:lvl w:ilvl="0" w:tplc="8902A484">
      <w:start w:val="1"/>
      <w:numFmt w:val="upp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4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891716"/>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1D0412"/>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0"/>
  </w:num>
  <w:num w:numId="4">
    <w:abstractNumId w:val="42"/>
  </w:num>
  <w:num w:numId="5">
    <w:abstractNumId w:val="26"/>
  </w:num>
  <w:num w:numId="6">
    <w:abstractNumId w:val="3"/>
  </w:num>
  <w:num w:numId="7">
    <w:abstractNumId w:val="6"/>
  </w:num>
  <w:num w:numId="8">
    <w:abstractNumId w:val="23"/>
  </w:num>
  <w:num w:numId="9">
    <w:abstractNumId w:val="20"/>
  </w:num>
  <w:num w:numId="10">
    <w:abstractNumId w:val="45"/>
  </w:num>
  <w:num w:numId="11">
    <w:abstractNumId w:val="38"/>
  </w:num>
  <w:num w:numId="12">
    <w:abstractNumId w:val="21"/>
  </w:num>
  <w:num w:numId="13">
    <w:abstractNumId w:val="35"/>
  </w:num>
  <w:num w:numId="14">
    <w:abstractNumId w:val="1"/>
  </w:num>
  <w:num w:numId="15">
    <w:abstractNumId w:val="16"/>
  </w:num>
  <w:num w:numId="16">
    <w:abstractNumId w:val="34"/>
  </w:num>
  <w:num w:numId="17">
    <w:abstractNumId w:val="29"/>
  </w:num>
  <w:num w:numId="18">
    <w:abstractNumId w:val="10"/>
  </w:num>
  <w:num w:numId="19">
    <w:abstractNumId w:val="37"/>
  </w:num>
  <w:num w:numId="20">
    <w:abstractNumId w:val="8"/>
  </w:num>
  <w:num w:numId="21">
    <w:abstractNumId w:val="11"/>
  </w:num>
  <w:num w:numId="22">
    <w:abstractNumId w:val="25"/>
  </w:num>
  <w:num w:numId="23">
    <w:abstractNumId w:val="5"/>
  </w:num>
  <w:num w:numId="24">
    <w:abstractNumId w:val="39"/>
  </w:num>
  <w:num w:numId="25">
    <w:abstractNumId w:val="22"/>
  </w:num>
  <w:num w:numId="26">
    <w:abstractNumId w:val="33"/>
  </w:num>
  <w:num w:numId="27">
    <w:abstractNumId w:val="31"/>
  </w:num>
  <w:num w:numId="28">
    <w:abstractNumId w:val="43"/>
  </w:num>
  <w:num w:numId="29">
    <w:abstractNumId w:val="12"/>
  </w:num>
  <w:num w:numId="30">
    <w:abstractNumId w:val="44"/>
  </w:num>
  <w:num w:numId="31">
    <w:abstractNumId w:val="27"/>
  </w:num>
  <w:num w:numId="32">
    <w:abstractNumId w:val="30"/>
  </w:num>
  <w:num w:numId="33">
    <w:abstractNumId w:val="40"/>
  </w:num>
  <w:num w:numId="34">
    <w:abstractNumId w:val="14"/>
  </w:num>
  <w:num w:numId="35">
    <w:abstractNumId w:val="17"/>
  </w:num>
  <w:num w:numId="36">
    <w:abstractNumId w:val="9"/>
  </w:num>
  <w:num w:numId="37">
    <w:abstractNumId w:val="19"/>
  </w:num>
  <w:num w:numId="38">
    <w:abstractNumId w:val="4"/>
  </w:num>
  <w:num w:numId="39">
    <w:abstractNumId w:val="13"/>
  </w:num>
  <w:num w:numId="40">
    <w:abstractNumId w:val="15"/>
  </w:num>
  <w:num w:numId="41">
    <w:abstractNumId w:val="18"/>
  </w:num>
  <w:num w:numId="42">
    <w:abstractNumId w:val="36"/>
  </w:num>
  <w:num w:numId="43">
    <w:abstractNumId w:val="2"/>
  </w:num>
  <w:num w:numId="44">
    <w:abstractNumId w:val="7"/>
  </w:num>
  <w:num w:numId="45">
    <w:abstractNumId w:val="3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211E"/>
    <w:rsid w:val="00083355"/>
    <w:rsid w:val="000841FD"/>
    <w:rsid w:val="00084375"/>
    <w:rsid w:val="00087261"/>
    <w:rsid w:val="00093693"/>
    <w:rsid w:val="000958E8"/>
    <w:rsid w:val="00096E24"/>
    <w:rsid w:val="000A3942"/>
    <w:rsid w:val="000B0DCB"/>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582"/>
    <w:rsid w:val="0012522E"/>
    <w:rsid w:val="00125238"/>
    <w:rsid w:val="00136529"/>
    <w:rsid w:val="00146EE1"/>
    <w:rsid w:val="001471EE"/>
    <w:rsid w:val="00147CF3"/>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6840"/>
    <w:rsid w:val="001C7BE3"/>
    <w:rsid w:val="001D6DD9"/>
    <w:rsid w:val="001E4BE8"/>
    <w:rsid w:val="001E74FA"/>
    <w:rsid w:val="001E7667"/>
    <w:rsid w:val="001F06D2"/>
    <w:rsid w:val="001F0E1E"/>
    <w:rsid w:val="001F20FF"/>
    <w:rsid w:val="001F2597"/>
    <w:rsid w:val="001F2CBC"/>
    <w:rsid w:val="001F478A"/>
    <w:rsid w:val="00204A33"/>
    <w:rsid w:val="0020767D"/>
    <w:rsid w:val="00211478"/>
    <w:rsid w:val="002122CC"/>
    <w:rsid w:val="0021778F"/>
    <w:rsid w:val="0022192D"/>
    <w:rsid w:val="0022273C"/>
    <w:rsid w:val="00223EDE"/>
    <w:rsid w:val="00226BF3"/>
    <w:rsid w:val="00231731"/>
    <w:rsid w:val="002318C6"/>
    <w:rsid w:val="002333AE"/>
    <w:rsid w:val="00235B7A"/>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70E"/>
    <w:rsid w:val="002E38CB"/>
    <w:rsid w:val="002E4CAF"/>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A1479"/>
    <w:rsid w:val="003A3893"/>
    <w:rsid w:val="003B392A"/>
    <w:rsid w:val="003B4C14"/>
    <w:rsid w:val="003B59D1"/>
    <w:rsid w:val="003B74A8"/>
    <w:rsid w:val="003C0413"/>
    <w:rsid w:val="003C2B90"/>
    <w:rsid w:val="003C5DD0"/>
    <w:rsid w:val="003D3FD6"/>
    <w:rsid w:val="003D4867"/>
    <w:rsid w:val="003E12BE"/>
    <w:rsid w:val="003E147F"/>
    <w:rsid w:val="003E5E0B"/>
    <w:rsid w:val="003F5397"/>
    <w:rsid w:val="003F7159"/>
    <w:rsid w:val="00405A09"/>
    <w:rsid w:val="00412B8C"/>
    <w:rsid w:val="00414CBA"/>
    <w:rsid w:val="00417380"/>
    <w:rsid w:val="004247EC"/>
    <w:rsid w:val="00425357"/>
    <w:rsid w:val="00434026"/>
    <w:rsid w:val="004353BB"/>
    <w:rsid w:val="00435F48"/>
    <w:rsid w:val="00436067"/>
    <w:rsid w:val="004369BC"/>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976FA"/>
    <w:rsid w:val="004A0829"/>
    <w:rsid w:val="004A152F"/>
    <w:rsid w:val="004A211A"/>
    <w:rsid w:val="004A4CD9"/>
    <w:rsid w:val="004A5300"/>
    <w:rsid w:val="004B09D4"/>
    <w:rsid w:val="004B0D86"/>
    <w:rsid w:val="004B1328"/>
    <w:rsid w:val="004B1A98"/>
    <w:rsid w:val="004B1B61"/>
    <w:rsid w:val="004B29EE"/>
    <w:rsid w:val="004B2A85"/>
    <w:rsid w:val="004B343D"/>
    <w:rsid w:val="004C209F"/>
    <w:rsid w:val="004C7B5A"/>
    <w:rsid w:val="004D0CA7"/>
    <w:rsid w:val="004D40C6"/>
    <w:rsid w:val="004E4935"/>
    <w:rsid w:val="004E5F61"/>
    <w:rsid w:val="004F00AD"/>
    <w:rsid w:val="004F40A5"/>
    <w:rsid w:val="004F5846"/>
    <w:rsid w:val="004F6B23"/>
    <w:rsid w:val="0050116C"/>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3C63"/>
    <w:rsid w:val="0065678C"/>
    <w:rsid w:val="00661231"/>
    <w:rsid w:val="00663F63"/>
    <w:rsid w:val="00664C58"/>
    <w:rsid w:val="00666394"/>
    <w:rsid w:val="00667892"/>
    <w:rsid w:val="00672E93"/>
    <w:rsid w:val="00675B65"/>
    <w:rsid w:val="00677169"/>
    <w:rsid w:val="0068143D"/>
    <w:rsid w:val="006817C0"/>
    <w:rsid w:val="00684DB0"/>
    <w:rsid w:val="00690D0B"/>
    <w:rsid w:val="0069233C"/>
    <w:rsid w:val="0069249C"/>
    <w:rsid w:val="0069277B"/>
    <w:rsid w:val="006948E2"/>
    <w:rsid w:val="00694BB9"/>
    <w:rsid w:val="00696AEC"/>
    <w:rsid w:val="006A0087"/>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58D"/>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505"/>
    <w:rsid w:val="008D5C5B"/>
    <w:rsid w:val="008D6888"/>
    <w:rsid w:val="008E0678"/>
    <w:rsid w:val="008E2E71"/>
    <w:rsid w:val="008E5F40"/>
    <w:rsid w:val="008F169C"/>
    <w:rsid w:val="008F25E0"/>
    <w:rsid w:val="008F5B53"/>
    <w:rsid w:val="008F6128"/>
    <w:rsid w:val="009002E4"/>
    <w:rsid w:val="009069C3"/>
    <w:rsid w:val="00906E53"/>
    <w:rsid w:val="00912423"/>
    <w:rsid w:val="00914928"/>
    <w:rsid w:val="0092093C"/>
    <w:rsid w:val="00924C6B"/>
    <w:rsid w:val="00926E21"/>
    <w:rsid w:val="00932219"/>
    <w:rsid w:val="00933D46"/>
    <w:rsid w:val="00933FD9"/>
    <w:rsid w:val="00934259"/>
    <w:rsid w:val="00935D82"/>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0CB1"/>
    <w:rsid w:val="009B6C3E"/>
    <w:rsid w:val="009B790A"/>
    <w:rsid w:val="009C21B3"/>
    <w:rsid w:val="009D0B4D"/>
    <w:rsid w:val="009D2DA9"/>
    <w:rsid w:val="009E4937"/>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0D8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3787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A5E84"/>
    <w:rsid w:val="00BB1DFA"/>
    <w:rsid w:val="00BB2CFA"/>
    <w:rsid w:val="00BB5A8F"/>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684E"/>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0C3"/>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95B"/>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FECD66-F239-465C-95FC-C60C4637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35"/>
      </w:numPr>
    </w:pPr>
    <w:rPr>
      <w:sz w:val="32"/>
      <w:szCs w:val="32"/>
    </w:rPr>
  </w:style>
  <w:style w:type="paragraph" w:customStyle="1" w:styleId="LGAmaintextbullets">
    <w:name w:val="LGA main text bullets"/>
    <w:basedOn w:val="Normal"/>
    <w:qFormat/>
    <w:rsid w:val="00890003"/>
    <w:pPr>
      <w:numPr>
        <w:numId w:val="4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3D37-67D2-482B-A9AD-C4FFCF029696}"/>
</file>

<file path=customXml/itemProps2.xml><?xml version="1.0" encoding="utf-8"?>
<ds:datastoreItem xmlns:ds="http://schemas.openxmlformats.org/officeDocument/2006/customXml" ds:itemID="{E726559A-8DB6-48CD-AE98-1F6371B4F54F}"/>
</file>

<file path=customXml/itemProps3.xml><?xml version="1.0" encoding="utf-8"?>
<ds:datastoreItem xmlns:ds="http://schemas.openxmlformats.org/officeDocument/2006/customXml" ds:itemID="{1958F20C-8012-4308-8220-4F1DEE710725}"/>
</file>

<file path=customXml/itemProps4.xml><?xml version="1.0" encoding="utf-8"?>
<ds:datastoreItem xmlns:ds="http://schemas.openxmlformats.org/officeDocument/2006/customXml" ds:itemID="{9940F92C-0C92-4BAC-9DC9-29591FC103F4}"/>
</file>

<file path=docProps/app.xml><?xml version="1.0" encoding="utf-8"?>
<Properties xmlns="http://schemas.openxmlformats.org/officeDocument/2006/extended-properties" xmlns:vt="http://schemas.openxmlformats.org/officeDocument/2006/docPropsVTypes">
  <Template>Normal</Template>
  <TotalTime>23</TotalTime>
  <Pages>4</Pages>
  <Words>680</Words>
  <Characters>3745</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2015-09-14T21:06:00Z</cp:lastPrinted>
  <dcterms:created xsi:type="dcterms:W3CDTF">2015-12-11T12:17:00Z</dcterms:created>
  <dcterms:modified xsi:type="dcterms:W3CDTF">2016-12-22T11:48:00Z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